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My Profiling of the Best 10 Case Studies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18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ideal case studies – poll 10 patient files of people under 3 years of initial intensive continued care to who has kept a plan.</w:t>
        <w:br w:type="textWrapping"/>
        <w:t xml:space="preserve">Consider zero balance, keeps appointments, you light up upon their arrival, attend SWS.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Ind w:w="175.0" w:type="dxa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2505"/>
        <w:gridCol w:w="2385"/>
        <w:gridCol w:w="2700"/>
        <w:gridCol w:w="2835"/>
        <w:gridCol w:w="3015"/>
        <w:tblGridChange w:id="0">
          <w:tblGrid>
            <w:gridCol w:w="510"/>
            <w:gridCol w:w="2505"/>
            <w:gridCol w:w="2385"/>
            <w:gridCol w:w="2700"/>
            <w:gridCol w:w="2835"/>
            <w:gridCol w:w="3015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ind w:left="6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ind w:left="6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Basics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(age, gender, cc, complications)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Cont. Care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W/M/S</w:t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040.0" w:type="dxa"/>
        <w:jc w:val="left"/>
        <w:tblInd w:w="170.0" w:type="dxa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710"/>
        <w:gridCol w:w="1980"/>
        <w:gridCol w:w="2070"/>
        <w:gridCol w:w="2700"/>
        <w:gridCol w:w="2520"/>
        <w:gridCol w:w="3060"/>
        <w:tblGridChange w:id="0">
          <w:tblGrid>
            <w:gridCol w:w="1710"/>
            <w:gridCol w:w="1980"/>
            <w:gridCol w:w="2070"/>
            <w:gridCol w:w="2700"/>
            <w:gridCol w:w="2520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7b7b7b" w:space="0" w:sz="8" w:val="single"/>
              <w:left w:color="7b7b7b" w:space="0" w:sz="8" w:val="single"/>
              <w:bottom w:color="7b7b7b" w:space="0" w:sz="8" w:val="single"/>
              <w:right w:color="7b7b7b" w:space="0" w:sz="8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Time (TFI)</w:t>
            </w:r>
          </w:p>
        </w:tc>
        <w:tc>
          <w:tcPr>
            <w:tcBorders>
              <w:top w:color="7b7b7b" w:space="0" w:sz="8" w:val="single"/>
              <w:left w:color="7b7b7b" w:space="0" w:sz="8" w:val="single"/>
              <w:bottom w:color="7b7b7b" w:space="0" w:sz="8" w:val="single"/>
              <w:right w:color="7b7b7b" w:space="0" w:sz="8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Frequency (TFI)</w:t>
            </w:r>
          </w:p>
        </w:tc>
        <w:tc>
          <w:tcPr>
            <w:tcBorders>
              <w:top w:color="7b7b7b" w:space="0" w:sz="8" w:val="single"/>
              <w:left w:color="7b7b7b" w:space="0" w:sz="8" w:val="single"/>
              <w:bottom w:color="7b7b7b" w:space="0" w:sz="8" w:val="single"/>
              <w:right w:color="7b7b7b" w:space="0" w:sz="8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Intensity (TFI)</w:t>
            </w:r>
          </w:p>
        </w:tc>
        <w:tc>
          <w:tcPr>
            <w:tcBorders>
              <w:top w:color="7b7b7b" w:space="0" w:sz="8" w:val="single"/>
              <w:left w:color="7b7b7b" w:space="0" w:sz="8" w:val="single"/>
              <w:bottom w:color="7b7b7b" w:space="0" w:sz="8" w:val="single"/>
              <w:right w:color="7b7b7b" w:space="0" w:sz="8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Discharge (D)</w:t>
            </w:r>
          </w:p>
        </w:tc>
        <w:tc>
          <w:tcPr>
            <w:tcBorders>
              <w:top w:color="7b7b7b" w:space="0" w:sz="8" w:val="single"/>
              <w:left w:color="7b7b7b" w:space="0" w:sz="8" w:val="single"/>
              <w:bottom w:color="7b7b7b" w:space="0" w:sz="8" w:val="single"/>
              <w:right w:color="7b7b7b" w:space="0" w:sz="8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Continued Care (CC)</w:t>
            </w:r>
          </w:p>
        </w:tc>
        <w:tc>
          <w:tcPr>
            <w:tcBorders>
              <w:top w:color="7b7b7b" w:space="0" w:sz="8" w:val="single"/>
              <w:left w:color="7b7b7b" w:space="0" w:sz="8" w:val="single"/>
              <w:bottom w:color="7b7b7b" w:space="0" w:sz="8" w:val="single"/>
              <w:right w:color="7b7b7b" w:space="0" w:sz="8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Wellness, Maintenance, Supportive (WMS)</w:t>
            </w:r>
          </w:p>
        </w:tc>
      </w:tr>
      <w:tr>
        <w:trPr>
          <w:cantSplit w:val="0"/>
          <w:trHeight w:val="1528" w:hRule="atLeast"/>
          <w:tblHeader w:val="0"/>
        </w:trPr>
        <w:tc>
          <w:tcPr>
            <w:tcBorders>
              <w:top w:color="7b7b7b" w:space="0" w:sz="8" w:val="single"/>
              <w:left w:color="7b7b7b" w:space="0" w:sz="8" w:val="single"/>
              <w:right w:color="7b7b7b" w:space="0" w:sz="8" w:val="single"/>
            </w:tcBorders>
          </w:tcPr>
          <w:p w:rsidR="00000000" w:rsidDel="00000000" w:rsidP="00000000" w:rsidRDefault="00000000" w:rsidRPr="00000000" w14:paraId="0000004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Length of months, years, of care recommended.</w:t>
            </w:r>
          </w:p>
        </w:tc>
        <w:tc>
          <w:tcPr>
            <w:tcBorders>
              <w:top w:color="7b7b7b" w:space="0" w:sz="8" w:val="single"/>
              <w:left w:color="7b7b7b" w:space="0" w:sz="8" w:val="single"/>
              <w:right w:color="7b7b7b" w:space="0" w:sz="8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Frequency of care daily, 4x a week, 3x a week, 2x a week, of duration of care.</w:t>
            </w:r>
          </w:p>
        </w:tc>
        <w:tc>
          <w:tcPr>
            <w:tcBorders>
              <w:top w:color="7b7b7b" w:space="0" w:sz="8" w:val="single"/>
              <w:left w:color="7b7b7b" w:space="0" w:sz="8" w:val="single"/>
              <w:right w:color="7b7b7b" w:space="0" w:sz="8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What is required of patient to do in office and at home: exercises, re-exams, workshops, etc.</w:t>
            </w:r>
          </w:p>
        </w:tc>
        <w:tc>
          <w:tcPr>
            <w:tcBorders>
              <w:top w:color="7b7b7b" w:space="0" w:sz="8" w:val="single"/>
              <w:left w:color="7b7b7b" w:space="0" w:sz="8" w:val="single"/>
              <w:right w:color="7b7b7b" w:space="0" w:sz="8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All patients are discharged from one phase of care to the next.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When were they discharged for initial care?</w:t>
            </w:r>
          </w:p>
        </w:tc>
        <w:tc>
          <w:tcPr>
            <w:tcBorders>
              <w:top w:color="7b7b7b" w:space="0" w:sz="8" w:val="single"/>
              <w:left w:color="7b7b7b" w:space="0" w:sz="8" w:val="single"/>
              <w:right w:color="7b7b7b" w:space="0" w:sz="8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What are/were the recommendations of TFI for patients beyond initial intensive care after they were discharged?</w:t>
            </w:r>
          </w:p>
        </w:tc>
        <w:tc>
          <w:tcPr>
            <w:tcBorders>
              <w:top w:color="7b7b7b" w:space="0" w:sz="8" w:val="single"/>
              <w:left w:color="7b7b7b" w:space="0" w:sz="8" w:val="single"/>
              <w:right w:color="7b7b7b" w:space="0" w:sz="8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Types of care offered beyond initial intensive and continued corrective care.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810" w:top="86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892"/>
    <w:pPr>
      <w:spacing w:after="0" w:line="240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link w:val="NoSpacingChar"/>
    <w:uiPriority w:val="1"/>
    <w:qFormat w:val="1"/>
    <w:rsid w:val="004F7892"/>
    <w:pPr>
      <w:spacing w:after="0" w:line="240" w:lineRule="auto"/>
    </w:pPr>
    <w:rPr>
      <w:rFonts w:ascii="Times New Roman" w:hAnsi="Times New Roman"/>
      <w:sz w:val="24"/>
    </w:rPr>
  </w:style>
  <w:style w:type="character" w:styleId="NoSpacingChar" w:customStyle="1">
    <w:name w:val="No Spacing Char"/>
    <w:basedOn w:val="DefaultParagraphFont"/>
    <w:link w:val="NoSpacing"/>
    <w:uiPriority w:val="1"/>
    <w:rsid w:val="004F789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4F7892"/>
    <w:pPr>
      <w:spacing w:after="0" w:line="240" w:lineRule="auto"/>
    </w:pPr>
    <w:rPr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List-Accent3">
    <w:name w:val="Light List Accent 3"/>
    <w:basedOn w:val="TableNormal"/>
    <w:uiPriority w:val="61"/>
    <w:rsid w:val="004F7892"/>
    <w:pPr>
      <w:spacing w:after="0" w:line="240" w:lineRule="auto"/>
    </w:pPr>
    <w:rPr>
      <w:sz w:val="24"/>
    </w:rPr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5a5a5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6" w:themeColor="accent3" w:val="doub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band1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</w:tcPr>
    </w:tblStylePr>
    <w:tblStylePr w:type="band1Vert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a5a5a5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a5a5a5" w:space="0" w:sz="6" w:val="single"/>
          <w:left w:color="a5a5a5" w:space="0" w:sz="8" w:val="single"/>
          <w:bottom w:color="a5a5a5" w:space="0" w:sz="8" w:val="single"/>
          <w:right w:color="a5a5a5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fihHbVPUI+aqdXv9UVD0HOWJ3A==">AMUW2mWt69HUQx2Fm0SitA/bMzPx0/z/EuTKiVYyTFry0ZF9Sl75o7NlWANsM0qlKmTB3+r7/lrV1nFzm8TXPgzlxRAlVYuEjGycABwL8Eo8R1jCkAyQJ7I=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2022-10-11T16:28:00Z</dcterms:created>
  <dc:creator>Carolyn Packert</dc:creator>
</cp:coreProperties>
</file>